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Disclosure:</w:t>
      </w:r>
      <w:r w:rsidDel="00000000" w:rsidR="00000000" w:rsidRPr="00000000">
        <w:rPr>
          <w:rFonts w:ascii="Times New Roman" w:cs="Times New Roman" w:eastAsia="Times New Roman" w:hAnsi="Times New Roman"/>
          <w:i w:val="1"/>
          <w:sz w:val="24"/>
          <w:szCs w:val="24"/>
          <w:rtl w:val="0"/>
        </w:rPr>
        <w:t xml:space="preserve"> The following case study is based on real events and reflects an actual medical practice closure. All names and identifying details have been removed to protect privacy and confidentiality. This document is provided strictly as evidence of professional analysis and may not be copied, distributed, or repurposed without explicit authorization.</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study examines the sudden closure of a family medical practice that had operated for over sixty years within its community. For decades, the clinic had been a trusted anchor for patients, many of whom had been with the physician across generations. It operated out of the physician’s home and relied entirely on a paper-based system, a model that functioned well in its era but created enormous challenges once the closure became imminent. The retirement was not gradual or planned—it came abruptly due to health concerns—leaving no transition plan, no succession, and no infrastructure to support an orderly shutdown.</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immediate impact was felt most by patients, who suddenly found themselves without a primary care provider. In a province already strained by physician shortages, the abruptness of the closure forced patients into a scramble, calling other clinics or emergency services for support. This not only disrupted continuity of care but also amplified existing systemic pressures, with ripple effects spreading across the regional healthcare system. Patients who required ongoing treatment or medication refills were left in uncertainty, and some experienced significant anxiety and distress over the prospect of losing access to care they had trusted for decades.</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operational level, the physician’s family became the default managers of the transition, despite having no medical or administrative training in clinic closures. They were suddenly responsible for highly technical tasks such as patient file management, coordination with health authorities, and compliance with privacy legislation. This dynamic highlighted a raw truth: when a clinic closure happens suddenly, the burden often falls unfairly on families who are already dealing with emotional stress. In this case, the weight of responsibility compounded grief with overwhelming logistical obligations, exposing the lack of systemic safeguards to support families in such transitions.</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management emerged as one of the most pressing challenges. Thousands of paper files had to be secured, catalogued, and transferred for long-term storage in compliance with legal requirements. The family and support staff, unfamiliar with these protocols, initially considered a storage provider that would only retain files for seven years—three years short of the mandated ten. This oversight could have created significant liability, including legal exposure for both the family and the health system, and it underscored the gap in accessible, clear guidance for non-medical individuals suddenly thrust into regulatory responsibilities. The reality is stark: even when acting in good faith, families can be left vulnerable to future legal consequences due to unclear or inconsistent advice.</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breakdowns further magnified the strain. Practice facilitators, health coordinators, and government departments were technically “available,” but roles and responsibilities were fragmented. Confidentiality concerns created hesitation in sharing critical information, while the absence of a central leadership role left families navigating a maze of bureaucracy alone. Simple questions—such as “Who is responsible for storing these files?” or “What happens to patients who need immediate care?”—were met with vague or conflicting answers. These breakdowns caused delays, inefficiencies, and frustration, revealing how siloed communication can cripple an already fragile transition.</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closure also carried an emotional dimension often overlooked in policy discussions. Staff and family members were not just closing a business; they were dismantling a legacy. The practice was not only a workplace but also a community hub, a space of trust and continuity for generations of families. To pack it up and hand it over to storage boxes was, in many ways, to erase a living history. The physician’s family expressed both pride and grief—pride in the decades of service, but grief in having to close the doors in such an unceremonious and chaotic way. This mix of emotions made decision-making harder, as practical responsibilities collided with personal attachment.</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case, several hard lessons emerge. First, healthcare systems cannot assume that families will have the knowledge, resources, or resilience to handle complex closures on their own. Without institutionalized guidelines and hands-on support, the process becomes not only inefficient but also traumatic. Second, reliance on paper-based systems has consequences far beyond convenience—it can turn an already difficult transition into a logistical nightmare, especially in emergencies. Third, communication structures among facilitators, coordinators, and health authorities are often so fragmented that they end up causing more harm than help, delaying decisions at the very moment when urgency is highest. Finally, legal and compliance requirements around record retention are not always clear to non-medical parties, creating risks that could easily be avoided with standardized protocols.</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end, this closure demonstrates how fragile healthcare continuity can be when transitions are not planned. It illustrates the systemic vulnerabilities of relying on individuals—whether patients, families, or staff—to navigate institutional processes without clear pathways or support. The case also surfaces the human cost: patients left without care, families carrying emotional and logistical burdens, and staff caught between duty and uncertainty. If anything, the raw truth of this case is that sudden practice closures expose not just operational inefficiencies but also the deep cracks in how healthcare systems prepare—or fail to prepare—for the unexpected.</w:t>
      </w:r>
    </w:p>
    <w:p w:rsidR="00000000" w:rsidDel="00000000" w:rsidP="00000000" w:rsidRDefault="00000000" w:rsidRPr="00000000" w14:paraId="0000000A">
      <w:pPr>
        <w:spacing w:after="240" w:before="240" w:lineRule="auto"/>
        <w:ind w:left="0"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